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202"/>
        <w:gridCol w:w="1855"/>
        <w:gridCol w:w="1918"/>
        <w:gridCol w:w="1861"/>
      </w:tblGrid>
      <w:tr>
        <w:trPr>
          <w:trHeight w:val="1414" w:hRule="atLeast"/>
          <w:cantSplit w:val="true"/>
        </w:trPr>
        <w:tc>
          <w:tcPr>
            <w:tcW w:w="1589" w:type="dxa"/>
            <w:tcBorders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871220" cy="108013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3" t="-43" r="-53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260475" cy="1079500"/>
                  <wp:effectExtent l="0" t="0" r="0" b="0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0" t="-12" r="-10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040130" cy="1080135"/>
                  <wp:effectExtent l="0" t="0" r="0" b="0"/>
                  <wp:docPr id="3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8" t="-28" r="-28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tcBorders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080135" cy="1080135"/>
                  <wp:effectExtent l="0" t="0" r="0" b="0"/>
                  <wp:docPr id="4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" t="-2" r="-2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60" w:leader="none"/>
                <w:tab w:val="left" w:pos="3119" w:leader="none"/>
                <w:tab w:val="center" w:pos="5340" w:leader="none"/>
              </w:tabs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043940" cy="1047115"/>
                  <wp:effectExtent l="0" t="0" r="0" b="0"/>
                  <wp:docPr id="5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952" t="16052" r="28164" b="16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860" w:leader="none"/>
          <w:tab w:val="left" w:pos="3119" w:leader="none"/>
          <w:tab w:val="center" w:pos="5340" w:leader="none"/>
        </w:tabs>
        <w:jc w:val="center"/>
        <w:rPr>
          <w:b/>
          <w:b/>
          <w:szCs w:val="28"/>
          <w:lang w:val="en-US"/>
        </w:rPr>
      </w:pPr>
      <w:r>
        <w:rPr>
          <w:b/>
          <w:szCs w:val="28"/>
          <w:lang w:val="en-US"/>
        </w:rPr>
      </w:r>
    </w:p>
    <w:p>
      <w:pPr>
        <w:pStyle w:val="Normal"/>
        <w:tabs>
          <w:tab w:val="clear" w:pos="708"/>
          <w:tab w:val="left" w:pos="860" w:leader="none"/>
          <w:tab w:val="left" w:pos="3119" w:leader="none"/>
          <w:tab w:val="center" w:pos="5340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  <w:t>ИНФОРМАЦИОННОЕ ПИСЬМО</w:t>
      </w:r>
    </w:p>
    <w:p>
      <w:pPr>
        <w:pStyle w:val="Normal"/>
        <w:tabs>
          <w:tab w:val="clear" w:pos="708"/>
          <w:tab w:val="left" w:pos="860" w:leader="none"/>
          <w:tab w:val="left" w:pos="3119" w:leader="none"/>
          <w:tab w:val="center" w:pos="5340" w:leader="none"/>
        </w:tabs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spacing w:before="0" w:after="60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Уважаемые коллеги!</w:t>
      </w:r>
    </w:p>
    <w:p>
      <w:pPr>
        <w:pStyle w:val="Style19"/>
        <w:tabs>
          <w:tab w:val="clear" w:pos="708"/>
          <w:tab w:val="left" w:pos="2694" w:leader="none"/>
        </w:tabs>
        <w:spacing w:before="0" w:after="60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Приглашаем Вас принять участие в </w:t>
      </w:r>
    </w:p>
    <w:p>
      <w:pPr>
        <w:pStyle w:val="Style19"/>
        <w:tabs>
          <w:tab w:val="clear" w:pos="708"/>
          <w:tab w:val="left" w:pos="2694" w:leader="none"/>
        </w:tabs>
        <w:spacing w:before="0" w:after="60"/>
        <w:rPr/>
      </w:pPr>
      <w:r>
        <w:rPr>
          <w:b/>
          <w:i/>
          <w:szCs w:val="28"/>
          <w:lang w:val="en-US"/>
        </w:rPr>
        <w:t>XX</w:t>
      </w:r>
      <w:r>
        <w:rPr>
          <w:b/>
          <w:i/>
          <w:szCs w:val="28"/>
        </w:rPr>
        <w:t xml:space="preserve">I Всероссийской научно-практической конференции </w:t>
      </w:r>
    </w:p>
    <w:p>
      <w:pPr>
        <w:pStyle w:val="Style19"/>
        <w:tabs>
          <w:tab w:val="clear" w:pos="708"/>
          <w:tab w:val="left" w:pos="2694" w:leader="none"/>
        </w:tabs>
        <w:spacing w:before="0" w:after="60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«Обучение физике и астрономии в общем и профессиональном образовании» </w:t>
      </w:r>
      <w:r>
        <w:rPr>
          <w:b/>
          <w:i/>
          <w:szCs w:val="28"/>
          <w:u w:val="single"/>
        </w:rPr>
        <w:t>http://icpae.isu.ru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Конференция будет проходить </w:t>
      </w:r>
      <w:r>
        <w:rPr>
          <w:i/>
          <w:szCs w:val="28"/>
          <w:u w:val="single"/>
        </w:rPr>
        <w:t>29 марта и 30 марта 2023 года в очном формате с возможностью дистанционного участия (видеоконференцсвязь).</w:t>
      </w:r>
    </w:p>
    <w:p>
      <w:pPr>
        <w:pStyle w:val="Style2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конференции – кафедра физики Педагогического института ИГУ при поддержке Министерства образования Иркутской области и </w:t>
      </w:r>
    </w:p>
    <w:p>
      <w:pPr>
        <w:pStyle w:val="Style25"/>
        <w:spacing w:before="0" w:after="0"/>
        <w:ind w:right="-28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комитета по социальной политике и культуре администрации г. Иркутска. </w:t>
      </w:r>
    </w:p>
    <w:p>
      <w:pPr>
        <w:pStyle w:val="Style25"/>
        <w:spacing w:before="0" w:after="0"/>
        <w:ind w:right="-28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>
          <w:szCs w:val="28"/>
          <w:highlight w:val="yellow"/>
        </w:rPr>
      </w:pPr>
      <w:r>
        <w:rPr>
          <w:szCs w:val="28"/>
        </w:rPr>
        <w:t>К работе в конференции приглашаются сотрудники организаций профессионального образования, учителя общеобразовательных учреждений, специалисты дополнительного образования, обучающиеся педагогических направлений подготовки, а также все заинтересованные специалисты.</w:t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  <w:t>В рамках конференции будут представлены доклады, проведены интерактивные мероприятия по актуальным вопросам обучения физике, астрономии и смежным дисциплинам.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  <w:t>Планируемая программа конференции</w:t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</w:r>
    </w:p>
    <w:p>
      <w:pPr>
        <w:pStyle w:val="Normal"/>
        <w:suppressAutoHyphens w:val="false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29 марта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  <w:t>Открытие конференции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  <w:t>Круглый стол с ведущими специалистами Иркутской области «Актуальные вопросы обучения физике, физико-техническим дисциплинам и астрономии»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spacing w:before="0" w:after="60"/>
        <w:ind w:firstLine="709"/>
        <w:jc w:val="both"/>
        <w:rPr>
          <w:szCs w:val="28"/>
        </w:rPr>
      </w:pPr>
      <w:r>
        <w:rPr>
          <w:szCs w:val="28"/>
        </w:rPr>
        <w:t>Мастер-класс «Применение стандартизированных критериев в оценочных процедурах по физике»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center"/>
        <w:rPr/>
      </w:pPr>
      <w:r>
        <w:rPr>
          <w:i/>
          <w:szCs w:val="28"/>
        </w:rPr>
        <w:t>30 марта</w:t>
      </w:r>
    </w:p>
    <w:p>
      <w:pPr>
        <w:pStyle w:val="Normal"/>
        <w:suppressAutoHyphens w:val="false"/>
        <w:rPr>
          <w:szCs w:val="28"/>
        </w:rPr>
      </w:pPr>
      <w:r>
        <w:rPr>
          <w:szCs w:val="28"/>
        </w:rPr>
        <w:t>Доклады участников конференции и их обсуждение в рамках работы секций:</w:t>
      </w:r>
    </w:p>
    <w:p>
      <w:pPr>
        <w:pStyle w:val="Normal"/>
        <w:suppressAutoHyphens w:val="false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left="425" w:hanging="357"/>
        <w:jc w:val="both"/>
        <w:rPr>
          <w:szCs w:val="28"/>
        </w:rPr>
      </w:pPr>
      <w:r>
        <w:rPr>
          <w:szCs w:val="28"/>
        </w:rPr>
        <w:t>Цифровая образовательная среда;</w:t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left="425" w:hanging="357"/>
        <w:jc w:val="both"/>
        <w:rPr>
          <w:szCs w:val="28"/>
        </w:rPr>
      </w:pPr>
      <w:r>
        <w:rPr>
          <w:szCs w:val="28"/>
        </w:rPr>
        <w:t>Организация образовательного процесса по физике и астрономии;</w:t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left="425" w:hanging="357"/>
        <w:jc w:val="both"/>
        <w:rPr>
          <w:szCs w:val="28"/>
        </w:rPr>
      </w:pPr>
      <w:r>
        <w:rPr>
          <w:szCs w:val="28"/>
        </w:rPr>
        <w:t>Организация образовательного процесса по физико-техническим дисциплинам;</w:t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left="425" w:hanging="357"/>
        <w:jc w:val="both"/>
        <w:rPr/>
      </w:pPr>
      <w:r>
        <w:rPr>
          <w:szCs w:val="28"/>
        </w:rPr>
        <w:t>Оценочные процедуры в общем и профессиональном образовании;</w:t>
      </w:r>
    </w:p>
    <w:p>
      <w:pPr>
        <w:pStyle w:val="Normal"/>
        <w:numPr>
          <w:ilvl w:val="0"/>
          <w:numId w:val="2"/>
        </w:numPr>
        <w:suppressAutoHyphens w:val="false"/>
        <w:spacing w:before="0" w:after="60"/>
        <w:ind w:left="425" w:hanging="357"/>
        <w:jc w:val="both"/>
        <w:rPr>
          <w:szCs w:val="28"/>
        </w:rPr>
      </w:pPr>
      <w:r>
        <w:rPr>
          <w:szCs w:val="28"/>
        </w:rPr>
        <w:t>Учебный физический эксперимент.</w:t>
      </w:r>
    </w:p>
    <w:p>
      <w:pPr>
        <w:pStyle w:val="Normal"/>
        <w:suppressAutoHyphens w:val="false"/>
        <w:ind w:firstLine="709"/>
        <w:jc w:val="center"/>
        <w:rPr>
          <w:szCs w:val="28"/>
        </w:rPr>
      </w:pPr>
      <w:r>
        <w:rPr>
          <w:szCs w:val="28"/>
        </w:rPr>
        <w:t>Закрытие конференции</w:t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ind w:firstLine="709"/>
        <w:jc w:val="both"/>
        <w:rPr>
          <w:szCs w:val="28"/>
        </w:rPr>
      </w:pPr>
      <w:r>
        <w:rPr>
          <w:szCs w:val="28"/>
        </w:rPr>
        <w:t>В программу могут быть внесены изменения и дополнения.</w:t>
      </w:r>
    </w:p>
    <w:p>
      <w:pPr>
        <w:pStyle w:val="Style25"/>
        <w:spacing w:before="0" w:after="0"/>
        <w:ind w:firstLine="709"/>
        <w:jc w:val="both"/>
        <w:rPr/>
      </w:pPr>
      <w:r>
        <w:rPr>
          <w:sz w:val="28"/>
          <w:szCs w:val="28"/>
        </w:rPr>
        <w:t>По результатам работы конференции будет издан электронный сборник научных трудов с присвоением международного индекса ISBN и размещением в системе РИНЦ.</w:t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Желающим принять участие в конференции необходимо </w:t>
      </w:r>
      <w:r>
        <w:rPr>
          <w:rStyle w:val="Style16"/>
          <w:sz w:val="28"/>
          <w:szCs w:val="28"/>
        </w:rPr>
        <w:t>до 25 марта 2023 года (включительно)</w:t>
      </w:r>
      <w:r>
        <w:rPr>
          <w:sz w:val="28"/>
          <w:szCs w:val="28"/>
        </w:rPr>
        <w:t xml:space="preserve"> заполнить регистрационную карту участника на сайте </w:t>
      </w:r>
      <w:hyperlink r:id="rId7">
        <w:r>
          <w:rPr>
            <w:rStyle w:val="Style15"/>
            <w:b/>
            <w:sz w:val="28"/>
            <w:szCs w:val="28"/>
            <w:u w:val="none"/>
          </w:rPr>
          <w:t>http://icpae.isu.ru</w:t>
        </w:r>
      </w:hyperlink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Копию квитанции об оплате участия необходимо отправить по электронной почте </w:t>
      </w:r>
      <w:r>
        <w:rPr>
          <w:b/>
          <w:sz w:val="28"/>
          <w:szCs w:val="28"/>
          <w:u w:val="single"/>
        </w:rPr>
        <w:t>icpae@mail.ru</w:t>
      </w:r>
      <w:r>
        <w:rPr>
          <w:sz w:val="28"/>
          <w:szCs w:val="28"/>
        </w:rPr>
        <w:t xml:space="preserve"> в срок </w:t>
      </w:r>
      <w:r>
        <w:rPr>
          <w:rStyle w:val="Style16"/>
          <w:sz w:val="28"/>
          <w:szCs w:val="28"/>
        </w:rPr>
        <w:t xml:space="preserve">до 28 марта 2023 года (включительно). </w:t>
      </w:r>
      <w:r>
        <w:rPr>
          <w:sz w:val="28"/>
          <w:szCs w:val="28"/>
        </w:rPr>
        <w:t xml:space="preserve">Желающие опубликовать свою работу в сборнике трудов прикрепляют ее в электронном виде при регистрации. </w:t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before="0" w:after="6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участия в конференции: </w:t>
      </w:r>
    </w:p>
    <w:p>
      <w:pPr>
        <w:pStyle w:val="Style25"/>
        <w:numPr>
          <w:ilvl w:val="0"/>
          <w:numId w:val="1"/>
        </w:numPr>
        <w:spacing w:before="28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Очная (выступление с устными докладами, участие в обсуждении докладов, публикация докладов в сборнике трудов, возможно участие во всех мероприятиях конференции в синхронном режиме с использованием системы видеоконференцсвязи);</w:t>
      </w:r>
    </w:p>
    <w:p>
      <w:pPr>
        <w:pStyle w:val="Style25"/>
        <w:numPr>
          <w:ilvl w:val="0"/>
          <w:numId w:val="1"/>
        </w:numPr>
        <w:spacing w:before="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Заочная (публикация докладов в сборнике трудов).</w:t>
      </w:r>
    </w:p>
    <w:p>
      <w:pPr>
        <w:pStyle w:val="Normal"/>
        <w:spacing w:before="0" w:after="60"/>
        <w:ind w:left="709" w:hanging="0"/>
        <w:jc w:val="both"/>
        <w:rPr>
          <w:b/>
          <w:b/>
          <w:i/>
          <w:i/>
          <w:szCs w:val="28"/>
          <w:u w:val="single"/>
        </w:rPr>
      </w:pPr>
      <w:r>
        <w:rPr>
          <w:szCs w:val="28"/>
        </w:rPr>
        <w:t>Участники конференции получают сертификаты в электронном виде.</w:t>
      </w:r>
    </w:p>
    <w:p>
      <w:pPr>
        <w:pStyle w:val="Normal"/>
        <w:spacing w:before="0" w:after="60"/>
        <w:jc w:val="both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Оплата участия в конференции, вне зависимости от формы участия, составляет 750 рублей (с учетом НДС). </w:t>
      </w:r>
    </w:p>
    <w:p>
      <w:pPr>
        <w:pStyle w:val="Normal"/>
        <w:ind w:firstLine="709"/>
        <w:jc w:val="both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Требования к оформлению публикаций и другая актуальная информация на сайте конференции </w:t>
      </w:r>
      <w:hyperlink r:id="rId8">
        <w:r>
          <w:rPr>
            <w:rStyle w:val="Style15"/>
            <w:b/>
            <w:i/>
            <w:sz w:val="32"/>
            <w:szCs w:val="32"/>
            <w:u w:val="none"/>
          </w:rPr>
          <w:t>http://icpae.isu.ru</w:t>
        </w:r>
      </w:hyperlink>
      <w:r>
        <w:rPr>
          <w:szCs w:val="28"/>
        </w:rPr>
        <w:t xml:space="preserve"> и на странице кафедры физики в социальной сети VK </w:t>
      </w:r>
      <w:hyperlink r:id="rId9">
        <w:r>
          <w:rPr>
            <w:rStyle w:val="Style15"/>
            <w:b/>
            <w:i/>
            <w:sz w:val="32"/>
            <w:szCs w:val="32"/>
            <w:u w:val="none"/>
          </w:rPr>
          <w:t>http://vk.com/phys_pi_isu</w:t>
        </w:r>
      </w:hyperlink>
      <w:r>
        <w:rPr>
          <w:szCs w:val="28"/>
        </w:rPr>
        <w:t xml:space="preserve">, а так же по </w:t>
      </w:r>
      <w:r>
        <w:rPr>
          <w:szCs w:val="28"/>
          <w:lang w:val="en-US"/>
        </w:rPr>
        <w:t>QR</w:t>
      </w:r>
      <w:r>
        <w:rPr>
          <w:szCs w:val="28"/>
        </w:rPr>
        <w:t>-кодам ниже</w:t>
      </w:r>
    </w:p>
    <w:p>
      <w:pPr>
        <w:pStyle w:val="Normal"/>
        <w:ind w:firstLine="709"/>
        <w:jc w:val="both"/>
        <w:rPr/>
      </w:pPr>
      <w:r>
        <w:rPr/>
        <w:drawing>
          <wp:inline distT="0" distB="0" distL="0" distR="0">
            <wp:extent cx="1289050" cy="1294765"/>
            <wp:effectExtent l="0" t="0" r="0" b="0"/>
            <wp:docPr id="6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904" t="8904" r="8417" b="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</w:t>
      </w:r>
      <w:r>
        <w:rPr>
          <w:i/>
          <w:sz w:val="44"/>
          <w:szCs w:val="44"/>
          <w:lang w:val="en-US"/>
        </w:rPr>
        <w:drawing>
          <wp:inline distT="0" distB="0" distL="0" distR="0">
            <wp:extent cx="1353185" cy="1353185"/>
            <wp:effectExtent l="0" t="0" r="0" b="0"/>
            <wp:docPr id="7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86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cs="Times New Roman"/>
      <w:b w:val="false"/>
      <w:szCs w:val="28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Style15">
    <w:name w:val="Hyperlink"/>
    <w:rPr>
      <w:color w:val="0000FF"/>
      <w:u w:val="single"/>
    </w:rPr>
  </w:style>
  <w:style w:type="character" w:styleId="Style16">
    <w:name w:val="Strong"/>
    <w:qFormat/>
    <w:rPr>
      <w:b/>
      <w:bCs/>
    </w:rPr>
  </w:style>
  <w:style w:type="character" w:styleId="Go">
    <w:name w:val="go"/>
    <w:basedOn w:val="2"/>
    <w:qFormat/>
    <w:rPr/>
  </w:style>
  <w:style w:type="character" w:styleId="Style17">
    <w:name w:val="FollowedHyperlink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jc w:val="center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/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</w:rPr>
  </w:style>
  <w:style w:type="paragraph" w:styleId="Style25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yperlink" Target="http://icpae.isu.ru/" TargetMode="External"/><Relationship Id="rId8" Type="http://schemas.openxmlformats.org/officeDocument/2006/relationships/hyperlink" Target="http://icpae.isu.ru/" TargetMode="External"/><Relationship Id="rId9" Type="http://schemas.openxmlformats.org/officeDocument/2006/relationships/hyperlink" Target="http://vk.com/phys_pi_isu" TargetMode="Externa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132</TotalTime>
  <Application>LibreOffice/7.4.3.2$Linux_X86_64 LibreOffice_project/40$Build-2</Application>
  <AppVersion>15.0000</AppVersion>
  <Pages>2</Pages>
  <Words>353</Words>
  <Characters>2598</Characters>
  <CharactersWithSpaces>2978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2022-03-05T16:28:00Z</dcterms:created>
  <dc:creator>-</dc:creator>
  <dc:description/>
  <cp:keywords/>
  <dc:language>ru-RU</dc:language>
  <cp:lastModifiedBy>User</cp:lastModifiedBy>
  <cp:lastPrinted>2023-02-07T14:44:00Z</cp:lastPrinted>
  <dcterms:modified xsi:type="dcterms:W3CDTF">2023-02-07T14:45:00Z</dcterms:modified>
  <cp:revision>10</cp:revision>
  <dc:subject/>
  <dc:title>XIV Всероссийская</dc:title>
</cp:coreProperties>
</file>